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106A" w14:textId="053B84D6" w:rsidR="0030204B" w:rsidRPr="00C2552A" w:rsidRDefault="001B6D23" w:rsidP="007506F1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7FF215C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 descr="Oznakowanie FENIKS, RP, UE i NFOŚiGW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znakowanie FENIKS, RP, UE i NFOŚiGW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768" w:rsidRPr="00C2552A">
        <w:rPr>
          <w:rFonts w:ascii="Open Sans Light" w:hAnsi="Open Sans Light" w:cs="Open Sans Light"/>
        </w:rPr>
        <w:t>Lista sprawdzająca</w:t>
      </w:r>
    </w:p>
    <w:p w14:paraId="357B944A" w14:textId="77777777" w:rsidR="008F049C" w:rsidRPr="00C2552A" w:rsidRDefault="000E0D1E" w:rsidP="00C208AF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D92C1C">
      <w:pPr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5F22E6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77777777" w:rsidR="00021A0C" w:rsidRPr="00C2552A" w:rsidRDefault="008F049C" w:rsidP="007506F1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FENX.01.04 Gospodarka odpadami oraz gospodarka o obiegu zamkniętym</w:t>
      </w:r>
    </w:p>
    <w:p w14:paraId="13C09D50" w14:textId="0E5ECBC8" w:rsidR="00021A0C" w:rsidRPr="00C2552A" w:rsidRDefault="00021A0C" w:rsidP="007506F1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7B39B2" w:rsidRPr="00EE03E0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7B39B2" w:rsidRPr="00B36387">
        <w:rPr>
          <w:rFonts w:ascii="Open Sans Light" w:hAnsi="Open Sans Light" w:cs="Open Sans Light"/>
          <w:sz w:val="22"/>
          <w:szCs w:val="22"/>
        </w:rPr>
        <w:t>.</w:t>
      </w:r>
    </w:p>
    <w:p w14:paraId="779146F7" w14:textId="77777777" w:rsidR="008F049C" w:rsidRPr="00C2552A" w:rsidRDefault="000E0D1E" w:rsidP="007506F1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7506F1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7506F1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7506F1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7506F1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398F096" w14:textId="77777777" w:rsidR="000A3010" w:rsidRPr="00C2552A" w:rsidRDefault="00E83768" w:rsidP="007506F1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7506F1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7506F1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701E2456" w14:textId="540830E1" w:rsidR="00CB4B5F" w:rsidRPr="00D44DC8" w:rsidRDefault="00592FE4" w:rsidP="007506F1">
      <w:pPr>
        <w:spacing w:before="240" w:line="276" w:lineRule="auto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7506F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7506F1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7506F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7506F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7506F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7506F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7506F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7506F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7506F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7506F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75805A3F" w14:textId="77777777" w:rsidR="00A24CF0" w:rsidRPr="00D44DC8" w:rsidRDefault="00CB4B5F" w:rsidP="007506F1">
      <w:pPr>
        <w:spacing w:before="240" w:line="276" w:lineRule="auto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77777777" w:rsidR="00AF5C56" w:rsidRPr="00D44DC8" w:rsidRDefault="002174DE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7506F1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7506F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B8369EF" w14:textId="77777777" w:rsidR="00805807" w:rsidRPr="00D44DC8" w:rsidRDefault="00805807" w:rsidP="007506F1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7506F1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7506F1">
            <w:pPr>
              <w:pStyle w:val="Tekstkomentarza"/>
              <w:spacing w:line="276" w:lineRule="auto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E777509" w14:textId="77777777" w:rsidR="00433A0C" w:rsidRPr="00D44DC8" w:rsidRDefault="00246485" w:rsidP="007506F1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7506F1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7506F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Przez projekt ukończony/zrealizowany należy rozumieć projekt, dla którego przed dniem złożenia wniosku o dofinansowanie nastąpił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odbiór końcowy ostatnich robót (protokół odbioru końcowego), dostaw lub usług.</w:t>
            </w:r>
          </w:p>
          <w:p w14:paraId="070A974D" w14:textId="77777777" w:rsidR="00246485" w:rsidRPr="00D44DC8" w:rsidRDefault="00246485" w:rsidP="007506F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7506F1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7506F1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3DAA6EB7" w14:textId="77777777" w:rsidR="00F835F7" w:rsidRPr="00D44DC8" w:rsidRDefault="00F835F7" w:rsidP="007506F1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7506F1">
      <w:pPr>
        <w:pStyle w:val="Akapitzlist"/>
        <w:spacing w:line="276" w:lineRule="auto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77777777" w:rsidR="00AF5C56" w:rsidRPr="00D44DC8" w:rsidRDefault="00246485" w:rsidP="007506F1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7506F1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15B5EF5" w14:textId="5F1D98C2" w:rsidR="006114C6" w:rsidRPr="00D44DC8" w:rsidRDefault="00D836AC" w:rsidP="007506F1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C5E91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7506F1">
            <w:pPr>
              <w:spacing w:line="276" w:lineRule="auto"/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- art. 12 ust. 1 pkt 1 ustawy z dnia 15 czerwca 2012 r. o skutkach powierzania wykonywania pracy cudzoziemcom przebywającym wbrew przepisom na terytorium Rzeczypospolitej Polskiej (Dz. U. z 2021 poz. 1745); TAK/NIE - art. 9 ust. 1 pkt 2a ustawy 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 xml:space="preserve">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7506F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7506F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73E156A" w14:textId="77777777" w:rsidR="00840C16" w:rsidRPr="00D44DC8" w:rsidRDefault="0075553E" w:rsidP="007506F1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7506F1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7506F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Sprawdzane są odpowiedzi wnioskodawcy na pytania zawarte we wniosku o Dofinansowanie dotyczące braku podwójnego finansowania przedsięwzięć z różnych zewnętrznych środków publicznych, w tym europejskich.</w:t>
            </w:r>
          </w:p>
          <w:p w14:paraId="164C0A43" w14:textId="77777777" w:rsidR="00852428" w:rsidRPr="00D44DC8" w:rsidRDefault="00852428" w:rsidP="007506F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7506F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7506F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7506F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bookmarkEnd w:id="4"/>
    <w:p w14:paraId="5F8FFDF3" w14:textId="77777777" w:rsidR="00F216E3" w:rsidRPr="00D44DC8" w:rsidRDefault="00F216E3" w:rsidP="007506F1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  <w:t>Gotowość techniczna projektu do realizacji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65"/>
        <w:gridCol w:w="894"/>
        <w:gridCol w:w="4536"/>
        <w:gridCol w:w="1134"/>
        <w:gridCol w:w="456"/>
        <w:gridCol w:w="720"/>
        <w:gridCol w:w="720"/>
        <w:gridCol w:w="655"/>
      </w:tblGrid>
      <w:tr w:rsidR="00F216E3" w:rsidRPr="00D44DC8" w14:paraId="6FB826B9" w14:textId="77777777" w:rsidTr="007506F1">
        <w:tc>
          <w:tcPr>
            <w:tcW w:w="959" w:type="dxa"/>
            <w:gridSpan w:val="2"/>
            <w:shd w:val="clear" w:color="auto" w:fill="E2EFD9"/>
            <w:vAlign w:val="center"/>
          </w:tcPr>
          <w:p w14:paraId="320E3C41" w14:textId="77777777" w:rsidR="00F216E3" w:rsidRPr="00D44DC8" w:rsidRDefault="00F216E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77777777" w:rsidR="00F216E3" w:rsidRPr="00D44DC8" w:rsidRDefault="00F216E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7506F1">
        <w:trPr>
          <w:trHeight w:val="1652"/>
        </w:trPr>
        <w:tc>
          <w:tcPr>
            <w:tcW w:w="959" w:type="dxa"/>
            <w:gridSpan w:val="2"/>
            <w:vMerge w:val="restart"/>
          </w:tcPr>
          <w:p w14:paraId="06B28CE2" w14:textId="77777777" w:rsidR="0063566D" w:rsidRPr="00D44DC8" w:rsidRDefault="0063566D" w:rsidP="007506F1">
            <w:pPr>
              <w:numPr>
                <w:ilvl w:val="0"/>
                <w:numId w:val="8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0AD36F61" w14:textId="77777777" w:rsidR="0063566D" w:rsidRPr="00D44DC8" w:rsidRDefault="0063566D" w:rsidP="007506F1">
            <w:pPr>
              <w:numPr>
                <w:ilvl w:val="0"/>
                <w:numId w:val="9"/>
              </w:numPr>
              <w:spacing w:line="276" w:lineRule="auto"/>
              <w:ind w:left="317" w:hanging="283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Czy występuje zgodność z miejscowym planem zagospodarowania przestrzennego (mpzp), a w przypadku braku mpzp – </w:t>
            </w: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 xml:space="preserve">z ostateczną decyzją o warunkach zabudowy i zagospodarowania terenu (decyzja </w:t>
            </w: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>o warunkach zabudowy lub ostateczną decyzja o lokalizacji inwestycji celu publicznego);</w:t>
            </w:r>
          </w:p>
          <w:p w14:paraId="6C649555" w14:textId="416FFE97" w:rsidR="0063566D" w:rsidRPr="00D44DC8" w:rsidRDefault="00EB53FE" w:rsidP="007506F1">
            <w:pPr>
              <w:numPr>
                <w:ilvl w:val="0"/>
                <w:numId w:val="9"/>
              </w:numPr>
              <w:spacing w:line="276" w:lineRule="auto"/>
              <w:ind w:left="317" w:hanging="283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przypadku zadań realizowanych zgodnie z „Warunkami Kontraktowymi dla Budowy - dla robót inżynieryjno-budowlanych projektowanych przez zamawiającego” tzw. Czerwona Książka FIDIC (lub równoważnymi) – wartość zadań inwestycyjnych, dla których wydano ostateczną decyzję w/s pozwolenia na budowę albo dokonano zgłoszenia budowy lub robót budowlanych, wobec którego organ administracji architektoniczno-budowlanej nie wniósł sprzeciwu oraz sporządzono dokumentację wymaganą w związku z postępowaniem w sprawie udzielenia zamówienia (SIWZ i ogłoszenie) dla kontraktów na roboty w stosunku do całkowitej wartości zadań planowanych do realizacji (wymagających pozwolenia na budowę albo zgłoszenia budowy lub robót budowlanych) wg. warunków kontraktowych „Czerwonej Książki FIDIC” (lub równoważnej) – min. 40 %;</w:t>
            </w:r>
          </w:p>
          <w:p w14:paraId="69C1C773" w14:textId="32244059" w:rsidR="0063566D" w:rsidRPr="00D44DC8" w:rsidRDefault="00EB53FE" w:rsidP="007506F1">
            <w:pPr>
              <w:numPr>
                <w:ilvl w:val="0"/>
                <w:numId w:val="9"/>
              </w:numPr>
              <w:spacing w:line="276" w:lineRule="auto"/>
              <w:ind w:left="317" w:hanging="283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przypadku zadań realizowanych zgodnie z „Warunkami Kontraktowymi dla Urządzeń oraz Projektowania i Budowy - dla urządzeń elektrycznych i mechanicznych oraz robót inżynieryjnych i budowlanych projektowanych przez wykonawcę” tzw. Żółta Książka FIDIC (lub równoważnymi) – posiadanie dokumentacji wymaganej w związku z postępowaniem w sprawie udzielenia zamówienia (SIWZ i ogłoszenie) dla wszystkich zadań realizowanych wg Żółtej Książki FIDIC (lub równoważnej);</w:t>
            </w:r>
          </w:p>
          <w:p w14:paraId="4A0D846F" w14:textId="11FA043A" w:rsidR="0063566D" w:rsidRPr="00D44DC8" w:rsidRDefault="00EB53FE" w:rsidP="007506F1">
            <w:pPr>
              <w:numPr>
                <w:ilvl w:val="0"/>
                <w:numId w:val="9"/>
              </w:numPr>
              <w:spacing w:line="276" w:lineRule="auto"/>
              <w:ind w:left="317" w:hanging="283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przypadku zadań realizowanych 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 xml:space="preserve">w ramach partnerstwa publiczno-prywatnego – posiadanie dokumentacji 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niezbędnej do rozpoczęcia postępowania mającego na celu wybór partnera prywatnego.</w:t>
            </w:r>
          </w:p>
          <w:p w14:paraId="0A31E439" w14:textId="142088B6" w:rsidR="0063566D" w:rsidRPr="00D44DC8" w:rsidRDefault="0063566D" w:rsidP="007506F1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Ocena „Tak” przysługuje, gdy łącznie spełnione są warunki z </w:t>
            </w:r>
            <w:proofErr w:type="spellStart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punktora</w:t>
            </w:r>
            <w:proofErr w:type="spellEnd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pierwszego i każdego spośród pozostałych </w:t>
            </w:r>
            <w:proofErr w:type="spellStart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punktorów</w:t>
            </w:r>
            <w:proofErr w:type="spellEnd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, których zapisy mają zastosowanie do danego wniosku.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Pozytywna ocena, obok spełnienia wymogów określonych w </w:t>
            </w:r>
            <w:proofErr w:type="spellStart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punktorze</w:t>
            </w:r>
            <w:proofErr w:type="spellEnd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pierwszym, wymaga również spełnienia wymogów z co najmniej jednego spośród </w:t>
            </w:r>
            <w:proofErr w:type="spellStart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punktorów</w:t>
            </w:r>
            <w:proofErr w:type="spellEnd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drugiego i trzeciego.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7506F1">
        <w:trPr>
          <w:trHeight w:val="544"/>
        </w:trPr>
        <w:tc>
          <w:tcPr>
            <w:tcW w:w="959" w:type="dxa"/>
            <w:gridSpan w:val="2"/>
            <w:vMerge/>
          </w:tcPr>
          <w:p w14:paraId="10EAEA19" w14:textId="77777777" w:rsidR="0063566D" w:rsidRPr="00D44DC8" w:rsidRDefault="0063566D" w:rsidP="007506F1">
            <w:pPr>
              <w:numPr>
                <w:ilvl w:val="0"/>
                <w:numId w:val="8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7506F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CFD4" w14:textId="77777777" w:rsidR="0063566D" w:rsidRDefault="0063566D" w:rsidP="007506F1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745113D7" w14:textId="77777777" w:rsidR="00F057BB" w:rsidRPr="00D44DC8" w:rsidRDefault="00F057BB" w:rsidP="007506F1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F22E6" w:rsidRPr="00C2552A" w14:paraId="5948DAA1" w14:textId="77777777" w:rsidTr="007506F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65" w:type="dxa"/>
          <w:wAfter w:w="655" w:type="dxa"/>
        </w:trPr>
        <w:tc>
          <w:tcPr>
            <w:tcW w:w="7020" w:type="dxa"/>
            <w:gridSpan w:val="4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7506F1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7506F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65" w:type="dxa"/>
          <w:wAfter w:w="655" w:type="dxa"/>
          <w:trHeight w:val="671"/>
        </w:trPr>
        <w:tc>
          <w:tcPr>
            <w:tcW w:w="7020" w:type="dxa"/>
            <w:gridSpan w:val="4"/>
          </w:tcPr>
          <w:p w14:paraId="5AF8431B" w14:textId="77777777" w:rsidR="005F22E6" w:rsidRPr="00C2552A" w:rsidRDefault="005F22E6" w:rsidP="007506F1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7506F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7FC60FE" w14:textId="4EA64596" w:rsidR="00900204" w:rsidRPr="00C2552A" w:rsidRDefault="005F22E6" w:rsidP="007506F1">
      <w:pPr>
        <w:tabs>
          <w:tab w:val="left" w:pos="8820"/>
        </w:tabs>
        <w:spacing w:before="360"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  <w:r w:rsidR="00900204"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7506F1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7506F1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2CD8DDB9" w14:textId="77777777" w:rsidR="00900204" w:rsidRPr="00C2552A" w:rsidRDefault="00900204" w:rsidP="007506F1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7506F1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7506F1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9133D2">
      <w:pPr>
        <w:pStyle w:val="Akapitzlist"/>
        <w:keepNext/>
        <w:spacing w:before="240" w:after="60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CB2E6" w14:textId="77777777" w:rsidR="00AE055A" w:rsidRDefault="00AE055A">
      <w:r>
        <w:separator/>
      </w:r>
    </w:p>
  </w:endnote>
  <w:endnote w:type="continuationSeparator" w:id="0">
    <w:p w14:paraId="72F01AF8" w14:textId="77777777" w:rsidR="00AE055A" w:rsidRDefault="00A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5F404" w14:textId="77777777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7B7664" w:rsidRPr="007B7664">
      <w:rPr>
        <w:rFonts w:ascii="Calibri Light" w:hAnsi="Calibri Light"/>
        <w:noProof/>
        <w:sz w:val="28"/>
        <w:szCs w:val="28"/>
      </w:rPr>
      <w:t>6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C3A6A" w14:textId="77777777" w:rsidR="00AE055A" w:rsidRDefault="00AE055A">
      <w:r>
        <w:separator/>
      </w:r>
    </w:p>
  </w:footnote>
  <w:footnote w:type="continuationSeparator" w:id="0">
    <w:p w14:paraId="2D528AD3" w14:textId="77777777" w:rsidR="00AE055A" w:rsidRDefault="00AE055A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094483">
    <w:abstractNumId w:val="2"/>
  </w:num>
  <w:num w:numId="2" w16cid:durableId="2064716403">
    <w:abstractNumId w:val="4"/>
  </w:num>
  <w:num w:numId="3" w16cid:durableId="22244426">
    <w:abstractNumId w:val="0"/>
  </w:num>
  <w:num w:numId="4" w16cid:durableId="581067092">
    <w:abstractNumId w:val="6"/>
  </w:num>
  <w:num w:numId="5" w16cid:durableId="236213283">
    <w:abstractNumId w:val="1"/>
  </w:num>
  <w:num w:numId="6" w16cid:durableId="405110643">
    <w:abstractNumId w:val="7"/>
  </w:num>
  <w:num w:numId="7" w16cid:durableId="543251826">
    <w:abstractNumId w:val="3"/>
  </w:num>
  <w:num w:numId="8" w16cid:durableId="700471847">
    <w:abstractNumId w:val="5"/>
  </w:num>
  <w:num w:numId="9" w16cid:durableId="113541310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1E44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3C86"/>
    <w:rsid w:val="007323BE"/>
    <w:rsid w:val="00732848"/>
    <w:rsid w:val="007339C3"/>
    <w:rsid w:val="007506F1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DA7F-7818-418A-83C8-768EF33F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1091</Words>
  <Characters>7725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7</cp:revision>
  <cp:lastPrinted>2019-11-26T12:24:00Z</cp:lastPrinted>
  <dcterms:created xsi:type="dcterms:W3CDTF">2023-10-27T13:52:00Z</dcterms:created>
  <dcterms:modified xsi:type="dcterms:W3CDTF">2025-10-02T11:12:00Z</dcterms:modified>
</cp:coreProperties>
</file>